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in de massa is bruin-rood en gaat van aubergine-rood tot roodbruin met een sterk genuanceerde onregelmatige beige-witte oppervlaktetextuur met enkele licht gelige accenten.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*220x70x52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68 (12 mm)</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77 (6 mm)</w:t>
            </w:r>
          </w:p>
        </w:tc>
        <w:tc>
          <w:p>
            <w:r>
              <w:rPr>
                <w:sz w:val="14"/>
                <w:rFonts w:ascii="Myriad Pro Light"/>
                <w:tcPr>
                  <w:vAlign w:val="center"/>
                </w:tcPr>
              </w:rPr>
              <w:t/>
            </w:r>
          </w:p>
        </w:tc>
      </w:tr>
      <w:tr>
        <w:tc>
          <w:p>
            <w:r>
              <w:rPr>
                <w:sz w:val="14"/>
                <w:rFonts w:ascii="Myriad Pro Light"/>
                <w:tcPr>
                  <w:vAlign w:val="center"/>
                </w:tcPr>
              </w:rPr>
              <w:t>Afmeting (L x B x H)</w:t>
            </w:r>
          </w:p>
        </w:tc>
        <w:tc>
          <w:p>
            <w:r>
              <w:rPr>
                <w:sz w:val="14"/>
                <w:rFonts w:ascii="Myriad Pro Light"/>
                <w:tcPr>
                  <w:vAlign w:val="center"/>
                </w:tcPr>
              </w:rPr>
              <w:t>*215x100x65 mm</w:t>
            </w:r>
          </w:p>
        </w:tc>
        <w:tc>
          <w:p>
            <w:r>
              <w:rPr>
                <w:sz w:val="14"/>
                <w:rFonts w:ascii="Myriad Pro Light"/>
                <w:tcPr>
                  <w:vAlign w:val="center"/>
                </w:tcPr>
              </w:rPr>
              <w:t>- Op aanvraag &gt; 2000 m² </w:t>
            </w:r>
          </w:p>
        </w:tc>
      </w:tr>
      <w:tr>
        <w:tc>
          <w:p>
            <w:r>
              <w:rPr>
                <w:sz w:val="14"/>
                <w:rFonts w:ascii="Myriad Pro Light"/>
                <w:tcPr>
                  <w:vAlign w:val="center"/>
                </w:tcPr>
              </w:rPr>
              <w:t>Maattolerantie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Maatspreiding  </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0,60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&lt; 4 kg/(m².min)  klasse IW3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br/>
        <w:t>&lt;br&gt; &lt;br&gt;</w:t>
        <w:b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br/>
        <w:t>&lt;br&gt; &lt;br&gt;</w:t>
        <w:br/>
        <w:t>Onze gevelstenen zijn ontwikkeld en geproduceerd voor zichtbaar metselwerk zonder bijkomende afwerking.</w:t>
        <w:br/>
        <w:t>Indien toch wordt gekozen voor een aanvullende behandeling, zoals schilderen, kaleien, chipperen, hydrofoberen of gelijkaardige toepassingen, gebeurt dit op risico van de verwerker en/of opdrachtgever.</w:t>
        <w:br/>
        <w:t>Voorafgaand aan elke dergelijke behandeling dient steeds een proef op het werk of op een representatief staal te worden uitgevoerd, teneinde de geschiktheid en het esthetisch resultaat van de toepassing te beoordelen.</w:t>
        <w:br/>
        <w:t>Eventuele nadelige gevolgen, waaronder (maar niet beperkt tot) kleurafwijkingen, hechtingsproblemen, esthetische gebreken, schade of latere klachten die voortvloeien uit deze aanvullende behandelingen, vallen buiten de productspecificaties en garantievoorwaarden van Steenbakkerij Vande Moortel en kunnen derhalve niet op ons worden verhaald.</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N7 Brick B</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13-05-2026</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