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paars-bruin-grijs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op aanvraag voor projecten &gt; 2000 m²</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