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grijs-groen in de massa met een genuanceerde onregelmatige  grijs-zwarte oppervlaktetextuur.</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De steen wordt een tweede keer gereduceerd gebakken.</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stenen worden geleverd onder CE-merk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*246x75x38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78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90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&gt; 1,5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 &lt;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7036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20-03-2026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